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24" w:rsidRPr="00450EF9" w:rsidRDefault="00525ACC" w:rsidP="00637924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ArialMT"/>
          <w:sz w:val="36"/>
          <w:szCs w:val="36"/>
        </w:rPr>
      </w:pPr>
      <w:r>
        <w:rPr>
          <w:rFonts w:ascii="Algerian" w:hAnsi="Algerian" w:cs="ArialMT"/>
          <w:sz w:val="36"/>
          <w:szCs w:val="36"/>
        </w:rPr>
        <w:t>*</w:t>
      </w:r>
      <w:r w:rsidR="00637924" w:rsidRPr="00450EF9">
        <w:rPr>
          <w:rFonts w:ascii="Algerian" w:hAnsi="Algerian" w:cs="ArialMT"/>
          <w:sz w:val="36"/>
          <w:szCs w:val="36"/>
        </w:rPr>
        <w:t>TEMARIO DE QUIMICA</w:t>
      </w:r>
    </w:p>
    <w:p w:rsidR="00637924" w:rsidRPr="00836BC7" w:rsidRDefault="00637924" w:rsidP="00637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36BC7">
        <w:rPr>
          <w:rFonts w:ascii="Arial" w:hAnsi="Arial" w:cs="Arial"/>
          <w:b/>
          <w:sz w:val="28"/>
          <w:szCs w:val="28"/>
        </w:rPr>
        <w:t>UNIDAD 1. TEORÍA CUÁNTICA Y ESTRUCTURA ATÓMICA</w:t>
      </w:r>
    </w:p>
    <w:p w:rsidR="00E61CF8" w:rsidRPr="00836BC7" w:rsidRDefault="00E61CF8" w:rsidP="00637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37924" w:rsidRDefault="00637924" w:rsidP="00637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836BC7">
        <w:rPr>
          <w:rFonts w:ascii="Arial" w:hAnsi="Arial" w:cs="Arial"/>
          <w:color w:val="FF0000"/>
          <w:sz w:val="24"/>
          <w:szCs w:val="24"/>
        </w:rPr>
        <w:t>1.1.2 Radiactividad</w:t>
      </w:r>
    </w:p>
    <w:p w:rsidR="00836BC7" w:rsidRDefault="00836BC7" w:rsidP="00637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836BC7" w:rsidRDefault="00836BC7" w:rsidP="00637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81BD" w:themeColor="accent1"/>
          <w:sz w:val="24"/>
          <w:szCs w:val="24"/>
        </w:rPr>
      </w:pPr>
      <w:r>
        <w:rPr>
          <w:rFonts w:ascii="Arial" w:hAnsi="Arial" w:cs="Arial"/>
          <w:color w:val="4F81BD" w:themeColor="accent1"/>
          <w:sz w:val="24"/>
          <w:szCs w:val="24"/>
        </w:rPr>
        <w:t>Isótopos y sus aplicaciones</w:t>
      </w:r>
    </w:p>
    <w:p w:rsidR="00836BC7" w:rsidRDefault="00836BC7" w:rsidP="00637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isótopos son átomos de un mismo elemento con igual número atómico, pero con diferente número de masa, es decir, con diferente número de neutrones. </w:t>
      </w:r>
    </w:p>
    <w:p w:rsidR="00836BC7" w:rsidRDefault="00836BC7" w:rsidP="00637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Ejemplo: el carbono se presenta en la naturaleza como una mezcla natural de isótopos de carbono-12, carbono-13 y carbono-14.</w:t>
      </w:r>
    </w:p>
    <w:p w:rsidR="00836BC7" w:rsidRDefault="00836BC7" w:rsidP="00637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6BC7" w:rsidRDefault="00836BC7" w:rsidP="00637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han descubierto dos tipos de isótopos: radioactivos y no radioactivos. Los primeros son inestables, mientras que los segundos son estables. De los aproximadamente</w:t>
      </w:r>
      <w:r w:rsidR="00D776C8">
        <w:rPr>
          <w:rFonts w:ascii="Arial" w:hAnsi="Arial" w:cs="Arial"/>
          <w:sz w:val="24"/>
          <w:szCs w:val="24"/>
        </w:rPr>
        <w:t xml:space="preserve"> 350 isótopos presentes en la naturaleza, alrededor de 80 de ellos son radiactivos.</w:t>
      </w:r>
    </w:p>
    <w:p w:rsidR="00D776C8" w:rsidRDefault="00D776C8" w:rsidP="00637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776C8" w:rsidRDefault="00D776C8" w:rsidP="00637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isótopos radioactivos, también conocidos como </w:t>
      </w:r>
      <w:r>
        <w:rPr>
          <w:rFonts w:ascii="Arial" w:hAnsi="Arial" w:cs="Arial"/>
          <w:color w:val="FF0000"/>
          <w:sz w:val="24"/>
          <w:szCs w:val="24"/>
        </w:rPr>
        <w:t>radioisótopos</w:t>
      </w:r>
      <w:r>
        <w:rPr>
          <w:rFonts w:ascii="Arial" w:hAnsi="Arial" w:cs="Arial"/>
          <w:sz w:val="24"/>
          <w:szCs w:val="24"/>
        </w:rPr>
        <w:t>, buscan una forma de estab</w:t>
      </w:r>
      <w:r w:rsidR="005D541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lizarse</w:t>
      </w:r>
      <w:r w:rsidR="005D5419">
        <w:rPr>
          <w:rFonts w:ascii="Arial" w:hAnsi="Arial" w:cs="Arial"/>
          <w:sz w:val="24"/>
          <w:szCs w:val="24"/>
        </w:rPr>
        <w:t>.</w:t>
      </w:r>
    </w:p>
    <w:p w:rsidR="005D5419" w:rsidRDefault="005D5419" w:rsidP="00637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5419" w:rsidRDefault="005D5419" w:rsidP="00637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tiempo requerido para que la mitad de la muestra de los isótopos radioactivos de un elemento se desintegre se le denomina </w:t>
      </w:r>
      <w:r>
        <w:rPr>
          <w:rFonts w:ascii="Arial" w:hAnsi="Arial" w:cs="Arial"/>
          <w:color w:val="FF0000"/>
          <w:sz w:val="24"/>
          <w:szCs w:val="24"/>
        </w:rPr>
        <w:t>vida media</w:t>
      </w:r>
      <w:r>
        <w:rPr>
          <w:rFonts w:ascii="Arial" w:hAnsi="Arial" w:cs="Arial"/>
          <w:sz w:val="24"/>
          <w:szCs w:val="24"/>
        </w:rPr>
        <w:t>. Los isótopos varían mucho en cuanto a su vida media; algunos tardan hasta años o milenios en perder la mitad de sus átomos por desintegración.</w:t>
      </w:r>
    </w:p>
    <w:p w:rsidR="005D5419" w:rsidRDefault="005D5419" w:rsidP="00637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5D5419" w:rsidTr="005D5419">
        <w:tc>
          <w:tcPr>
            <w:tcW w:w="4322" w:type="dxa"/>
          </w:tcPr>
          <w:p w:rsidR="005D5419" w:rsidRPr="005D5419" w:rsidRDefault="005D5419" w:rsidP="005D54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419">
              <w:rPr>
                <w:rFonts w:ascii="Arial" w:hAnsi="Arial" w:cs="Arial"/>
                <w:sz w:val="24"/>
                <w:szCs w:val="24"/>
              </w:rPr>
              <w:t>ISÓTOPOS</w:t>
            </w:r>
          </w:p>
        </w:tc>
        <w:tc>
          <w:tcPr>
            <w:tcW w:w="4322" w:type="dxa"/>
          </w:tcPr>
          <w:p w:rsidR="005D5419" w:rsidRDefault="005D5419" w:rsidP="005D54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VIDA MEDIA</w:t>
            </w:r>
          </w:p>
        </w:tc>
      </w:tr>
      <w:tr w:rsidR="005D5419" w:rsidTr="005D5419">
        <w:tc>
          <w:tcPr>
            <w:tcW w:w="4322" w:type="dxa"/>
          </w:tcPr>
          <w:p w:rsidR="005D5419" w:rsidRDefault="005D5419" w:rsidP="005D54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Uranio - 238</w:t>
            </w:r>
          </w:p>
        </w:tc>
        <w:tc>
          <w:tcPr>
            <w:tcW w:w="4322" w:type="dxa"/>
          </w:tcPr>
          <w:p w:rsidR="005D5419" w:rsidRPr="00912E7E" w:rsidRDefault="00912E7E" w:rsidP="005D54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4.51 x 10 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años</w:t>
            </w:r>
          </w:p>
        </w:tc>
      </w:tr>
      <w:tr w:rsidR="005D5419" w:rsidTr="005D5419">
        <w:tc>
          <w:tcPr>
            <w:tcW w:w="4322" w:type="dxa"/>
          </w:tcPr>
          <w:p w:rsidR="005D5419" w:rsidRDefault="005D5419" w:rsidP="005D54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Carbono - 14</w:t>
            </w:r>
          </w:p>
        </w:tc>
        <w:tc>
          <w:tcPr>
            <w:tcW w:w="4322" w:type="dxa"/>
          </w:tcPr>
          <w:p w:rsidR="005D5419" w:rsidRDefault="00912E7E" w:rsidP="005D54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5 730 años</w:t>
            </w:r>
          </w:p>
        </w:tc>
      </w:tr>
      <w:tr w:rsidR="005D5419" w:rsidTr="005D5419">
        <w:tc>
          <w:tcPr>
            <w:tcW w:w="4322" w:type="dxa"/>
          </w:tcPr>
          <w:p w:rsidR="005D5419" w:rsidRDefault="005D5419" w:rsidP="005D54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Fósforo - 28</w:t>
            </w:r>
          </w:p>
        </w:tc>
        <w:tc>
          <w:tcPr>
            <w:tcW w:w="4322" w:type="dxa"/>
          </w:tcPr>
          <w:p w:rsidR="005D5419" w:rsidRPr="00912E7E" w:rsidRDefault="00912E7E" w:rsidP="005D54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270 x 10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segundos</w:t>
            </w:r>
          </w:p>
        </w:tc>
      </w:tr>
    </w:tbl>
    <w:p w:rsidR="005D5419" w:rsidRPr="005D5419" w:rsidRDefault="005D5419" w:rsidP="00637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5419" w:rsidRPr="00D776C8" w:rsidRDefault="005D5419" w:rsidP="00637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C33B8" w:rsidRDefault="00912E7E" w:rsidP="00637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La química nuclear es la parte de la química que se encarga de estudiar los cambios que experimentan los isótopos radioactivos.  </w:t>
      </w:r>
    </w:p>
    <w:p w:rsidR="006C33B8" w:rsidRDefault="006C33B8" w:rsidP="00637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6C33B8" w:rsidTr="00E61CF8">
        <w:tc>
          <w:tcPr>
            <w:tcW w:w="4322" w:type="dxa"/>
            <w:shd w:val="clear" w:color="auto" w:fill="00B0F0"/>
          </w:tcPr>
          <w:p w:rsidR="006C33B8" w:rsidRDefault="00036685" w:rsidP="006C33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 w:rsidR="00E61CF8">
              <w:rPr>
                <w:rFonts w:ascii="Arial" w:hAnsi="Arial" w:cs="Arial"/>
                <w:color w:val="000000" w:themeColor="text1"/>
                <w:sz w:val="24"/>
                <w:szCs w:val="24"/>
              </w:rPr>
              <w:t>IENCIA</w:t>
            </w:r>
          </w:p>
        </w:tc>
        <w:tc>
          <w:tcPr>
            <w:tcW w:w="4322" w:type="dxa"/>
            <w:shd w:val="clear" w:color="auto" w:fill="00B0F0"/>
          </w:tcPr>
          <w:p w:rsidR="006C33B8" w:rsidRDefault="006C33B8" w:rsidP="006C33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APLICACION</w:t>
            </w:r>
          </w:p>
        </w:tc>
      </w:tr>
      <w:bookmarkEnd w:id="0"/>
      <w:tr w:rsidR="006C33B8" w:rsidTr="006C33B8">
        <w:tc>
          <w:tcPr>
            <w:tcW w:w="4322" w:type="dxa"/>
          </w:tcPr>
          <w:p w:rsidR="00036685" w:rsidRDefault="00036685" w:rsidP="00637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Medicina</w:t>
            </w:r>
          </w:p>
          <w:p w:rsidR="00036685" w:rsidRDefault="00036685" w:rsidP="00637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C33B8" w:rsidRDefault="006C33B8" w:rsidP="00637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322" w:type="dxa"/>
          </w:tcPr>
          <w:p w:rsidR="006C33B8" w:rsidRDefault="006C33B8" w:rsidP="00637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33B8">
              <w:rPr>
                <w:rFonts w:ascii="Arial" w:hAnsi="Arial" w:cs="Arial"/>
                <w:color w:val="FF0000"/>
                <w:sz w:val="24"/>
                <w:szCs w:val="24"/>
              </w:rPr>
              <w:t>En medicina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, las enfermedades que se consideraron incurables pueden diagnosticarse con éste isótopo, que se utiliza para el tratamiento del cáncer.</w:t>
            </w:r>
            <w:r w:rsidR="000366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COBALTO-60</w:t>
            </w:r>
          </w:p>
        </w:tc>
      </w:tr>
      <w:tr w:rsidR="006C33B8" w:rsidTr="006C33B8">
        <w:tc>
          <w:tcPr>
            <w:tcW w:w="4322" w:type="dxa"/>
          </w:tcPr>
          <w:p w:rsidR="006C33B8" w:rsidRDefault="00036685" w:rsidP="00637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En biología, la industria y la agricultura.</w:t>
            </w:r>
          </w:p>
        </w:tc>
        <w:tc>
          <w:tcPr>
            <w:tcW w:w="4322" w:type="dxa"/>
          </w:tcPr>
          <w:p w:rsidR="006C33B8" w:rsidRDefault="00036685" w:rsidP="00637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</w:t>
            </w:r>
            <w:r w:rsidR="006C33B8">
              <w:rPr>
                <w:rFonts w:ascii="Arial" w:hAnsi="Arial" w:cs="Arial"/>
                <w:color w:val="000000" w:themeColor="text1"/>
                <w:sz w:val="24"/>
                <w:szCs w:val="24"/>
              </w:rPr>
              <w:t>an producido una mejoría significativa en la condición humana.</w:t>
            </w:r>
            <w:r w:rsidR="00EF70A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Llevando a obtener cosechas más abundantes que proveen más alimentos para una población cada vez mayor.</w:t>
            </w:r>
          </w:p>
          <w:p w:rsidR="00525ACC" w:rsidRDefault="00525ACC" w:rsidP="00637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C33B8" w:rsidTr="006C33B8">
        <w:tc>
          <w:tcPr>
            <w:tcW w:w="4322" w:type="dxa"/>
          </w:tcPr>
          <w:p w:rsidR="00036685" w:rsidRDefault="00036685" w:rsidP="00637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Geología, paleontología, antropología y arqueología.</w:t>
            </w:r>
          </w:p>
        </w:tc>
        <w:tc>
          <w:tcPr>
            <w:tcW w:w="4322" w:type="dxa"/>
          </w:tcPr>
          <w:p w:rsidR="006C33B8" w:rsidRDefault="00036685" w:rsidP="006379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Para conocer la edad de los objetos</w:t>
            </w:r>
            <w:r w:rsidR="00D812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 restos de seres vivos que existieron </w:t>
            </w:r>
            <w:proofErr w:type="gramStart"/>
            <w:r w:rsidR="00D8122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hace</w:t>
            </w:r>
            <w:proofErr w:type="gramEnd"/>
            <w:r w:rsidR="00D812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cientos de años y que en su composición contienen carbono</w:t>
            </w:r>
            <w:r w:rsidR="00491900">
              <w:rPr>
                <w:rFonts w:ascii="Arial" w:hAnsi="Arial" w:cs="Arial"/>
                <w:color w:val="000000" w:themeColor="text1"/>
                <w:sz w:val="24"/>
                <w:szCs w:val="24"/>
              </w:rPr>
              <w:t>, se lleva a cabo mediante la determinación de la vida media del isótopo carbono-14.</w:t>
            </w:r>
          </w:p>
        </w:tc>
      </w:tr>
    </w:tbl>
    <w:p w:rsidR="006C33B8" w:rsidRDefault="006C33B8" w:rsidP="00637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6C33B8" w:rsidRDefault="00E61CF8" w:rsidP="00E61CF8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Arial"/>
          <w:color w:val="7030A0"/>
          <w:sz w:val="28"/>
          <w:szCs w:val="28"/>
        </w:rPr>
      </w:pPr>
      <w:r>
        <w:rPr>
          <w:rFonts w:ascii="Algerian" w:hAnsi="Algerian" w:cs="Arial"/>
          <w:color w:val="7030A0"/>
          <w:sz w:val="28"/>
          <w:szCs w:val="28"/>
        </w:rPr>
        <w:t>Radioisótopos y la salud</w:t>
      </w:r>
    </w:p>
    <w:p w:rsidR="00E61CF8" w:rsidRDefault="00E61CF8" w:rsidP="00E61CF8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Arial"/>
          <w:color w:val="7030A0"/>
          <w:sz w:val="28"/>
          <w:szCs w:val="28"/>
        </w:rPr>
      </w:pPr>
    </w:p>
    <w:p w:rsidR="006C33B8" w:rsidRDefault="00E61CF8" w:rsidP="00E61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En medicina, los radioisótopos han encontrado grandes aplicaciones. Ejemplo:</w:t>
      </w:r>
    </w:p>
    <w:p w:rsidR="00E61CF8" w:rsidRDefault="00E61CF8" w:rsidP="00E61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61CF8" w:rsidRDefault="00E61CF8" w:rsidP="00E61CF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Para conocer que está sucediendo en el cuerpo de una persona.</w:t>
      </w:r>
    </w:p>
    <w:p w:rsidR="00E61CF8" w:rsidRDefault="00E61CF8" w:rsidP="00E61CF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61CF8" w:rsidRDefault="00E61CF8" w:rsidP="00E61CF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Como funcionan nuestros órganos.</w:t>
      </w:r>
    </w:p>
    <w:p w:rsidR="00816A75" w:rsidRDefault="00816A75" w:rsidP="00816A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16A75" w:rsidRPr="00AD5C5B" w:rsidRDefault="00816A75" w:rsidP="00BF2C35">
      <w:pPr>
        <w:shd w:val="clear" w:color="auto" w:fill="92D05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 inyectan cantidades muy pequeñas de sustancias que contienen radioisótopos</w:t>
      </w:r>
      <w:r w:rsidR="00AD5C5B">
        <w:rPr>
          <w:rFonts w:ascii="Arial" w:hAnsi="Arial" w:cs="Arial"/>
          <w:color w:val="000000" w:themeColor="text1"/>
          <w:sz w:val="24"/>
          <w:szCs w:val="24"/>
        </w:rPr>
        <w:t xml:space="preserve">. Estos se mueven a través del cuerpo, concentrándose en órganos específicos o en ciertas partes del cuerpo. Los isótopos que ahí se depositan emiten radiaciones características, detectadas mediante aparatos de radiología que proporcionan una </w:t>
      </w:r>
      <w:r w:rsidR="00AD5C5B" w:rsidRPr="00AD5C5B">
        <w:rPr>
          <w:rFonts w:ascii="Arial" w:hAnsi="Arial" w:cs="Arial"/>
          <w:color w:val="FF0000"/>
          <w:sz w:val="24"/>
          <w:szCs w:val="24"/>
        </w:rPr>
        <w:t>imagen</w:t>
      </w:r>
      <w:r w:rsidR="00AD5C5B">
        <w:rPr>
          <w:rFonts w:ascii="Arial" w:hAnsi="Arial" w:cs="Arial"/>
          <w:color w:val="FF0000"/>
          <w:sz w:val="24"/>
          <w:szCs w:val="24"/>
        </w:rPr>
        <w:t xml:space="preserve"> </w:t>
      </w:r>
      <w:r w:rsidR="00AD5C5B">
        <w:rPr>
          <w:rFonts w:ascii="Arial" w:hAnsi="Arial" w:cs="Arial"/>
          <w:sz w:val="24"/>
          <w:szCs w:val="24"/>
        </w:rPr>
        <w:t>de esa parte del cuerpo utilizando películas de rayos x. Al comparar las radiografías de un paciente enfermo con las obtenidas de una persona que tiene órganos y tejidos sanos, los médicos suelen deducir un diagnóstico de lo que sucede en el paciente. Las pequeñas cantidades de</w:t>
      </w:r>
      <w:r w:rsidR="00292E1F">
        <w:rPr>
          <w:rFonts w:ascii="Arial" w:hAnsi="Arial" w:cs="Arial"/>
          <w:sz w:val="24"/>
          <w:szCs w:val="24"/>
        </w:rPr>
        <w:t xml:space="preserve"> radioisótopos que se utilizan en procedimientos de este tipo salen del sistema del paciente a través del proceso excretor normal.</w:t>
      </w:r>
    </w:p>
    <w:p w:rsidR="00816A75" w:rsidRPr="00816A75" w:rsidRDefault="00816A75" w:rsidP="00816A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992"/>
        <w:gridCol w:w="4008"/>
      </w:tblGrid>
      <w:tr w:rsidR="00172EC4" w:rsidTr="00172EC4">
        <w:tc>
          <w:tcPr>
            <w:tcW w:w="4322" w:type="dxa"/>
            <w:shd w:val="clear" w:color="auto" w:fill="FFC000"/>
          </w:tcPr>
          <w:p w:rsidR="00172EC4" w:rsidRDefault="00172EC4" w:rsidP="00172EC4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Radioisótopo</w:t>
            </w:r>
          </w:p>
        </w:tc>
        <w:tc>
          <w:tcPr>
            <w:tcW w:w="4322" w:type="dxa"/>
            <w:shd w:val="clear" w:color="auto" w:fill="FFC000"/>
          </w:tcPr>
          <w:p w:rsidR="00172EC4" w:rsidRDefault="00172EC4" w:rsidP="00172EC4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Usos</w:t>
            </w:r>
          </w:p>
        </w:tc>
      </w:tr>
      <w:tr w:rsidR="00172EC4" w:rsidTr="00172EC4">
        <w:tc>
          <w:tcPr>
            <w:tcW w:w="4322" w:type="dxa"/>
          </w:tcPr>
          <w:p w:rsidR="00172EC4" w:rsidRDefault="00172EC4" w:rsidP="00172EC4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Tecnecio-99</w:t>
            </w:r>
          </w:p>
        </w:tc>
        <w:tc>
          <w:tcPr>
            <w:tcW w:w="4322" w:type="dxa"/>
          </w:tcPr>
          <w:p w:rsidR="00172EC4" w:rsidRDefault="00172EC4" w:rsidP="00E61CF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Formación de imagen del cerebro, corazón, tiroides, estómago, hígado, pulmón, médula ósea, bazo y riñón.</w:t>
            </w:r>
          </w:p>
        </w:tc>
      </w:tr>
      <w:tr w:rsidR="00172EC4" w:rsidTr="00172EC4">
        <w:tc>
          <w:tcPr>
            <w:tcW w:w="4322" w:type="dxa"/>
          </w:tcPr>
          <w:p w:rsidR="00172EC4" w:rsidRDefault="00172EC4" w:rsidP="00172EC4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Yodo-131</w:t>
            </w:r>
          </w:p>
        </w:tc>
        <w:tc>
          <w:tcPr>
            <w:tcW w:w="4322" w:type="dxa"/>
          </w:tcPr>
          <w:p w:rsidR="00172EC4" w:rsidRDefault="00C2126A" w:rsidP="00E61CF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Diagnóstico de enfermedades de la glándula tiroides.</w:t>
            </w:r>
          </w:p>
        </w:tc>
      </w:tr>
      <w:tr w:rsidR="00172EC4" w:rsidTr="00172EC4">
        <w:tc>
          <w:tcPr>
            <w:tcW w:w="4322" w:type="dxa"/>
          </w:tcPr>
          <w:p w:rsidR="00172EC4" w:rsidRDefault="00172EC4" w:rsidP="00172EC4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Yodo-123</w:t>
            </w:r>
          </w:p>
        </w:tc>
        <w:tc>
          <w:tcPr>
            <w:tcW w:w="4322" w:type="dxa"/>
          </w:tcPr>
          <w:p w:rsidR="00172EC4" w:rsidRDefault="00C2126A" w:rsidP="00E61CF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Formación de la imagen de la glándula tiroides.</w:t>
            </w:r>
          </w:p>
        </w:tc>
      </w:tr>
      <w:tr w:rsidR="00172EC4" w:rsidTr="00172EC4">
        <w:tc>
          <w:tcPr>
            <w:tcW w:w="4322" w:type="dxa"/>
          </w:tcPr>
          <w:p w:rsidR="00172EC4" w:rsidRDefault="00172EC4" w:rsidP="00172EC4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Galio-67</w:t>
            </w:r>
          </w:p>
        </w:tc>
        <w:tc>
          <w:tcPr>
            <w:tcW w:w="4322" w:type="dxa"/>
          </w:tcPr>
          <w:p w:rsidR="00172EC4" w:rsidRDefault="00C2126A" w:rsidP="00E61CF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Localización de tumores blandos e infecciones internas</w:t>
            </w:r>
          </w:p>
        </w:tc>
      </w:tr>
      <w:tr w:rsidR="00172EC4" w:rsidTr="00172EC4">
        <w:tc>
          <w:tcPr>
            <w:tcW w:w="4322" w:type="dxa"/>
          </w:tcPr>
          <w:p w:rsidR="00172EC4" w:rsidRDefault="00172EC4" w:rsidP="00172EC4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Cromo-51</w:t>
            </w:r>
          </w:p>
        </w:tc>
        <w:tc>
          <w:tcPr>
            <w:tcW w:w="4322" w:type="dxa"/>
          </w:tcPr>
          <w:p w:rsidR="00172EC4" w:rsidRDefault="00C766A0" w:rsidP="00E61CF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Estudios de la sangre y exploración del bazo.</w:t>
            </w:r>
          </w:p>
        </w:tc>
      </w:tr>
      <w:tr w:rsidR="00172EC4" w:rsidTr="00172EC4">
        <w:tc>
          <w:tcPr>
            <w:tcW w:w="4322" w:type="dxa"/>
          </w:tcPr>
          <w:p w:rsidR="00172EC4" w:rsidRDefault="00172EC4" w:rsidP="00172EC4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Selenio-75</w:t>
            </w:r>
          </w:p>
        </w:tc>
        <w:tc>
          <w:tcPr>
            <w:tcW w:w="4322" w:type="dxa"/>
          </w:tcPr>
          <w:p w:rsidR="00172EC4" w:rsidRDefault="00C766A0" w:rsidP="00E61CF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Formación de la imagen del páncreas.</w:t>
            </w:r>
          </w:p>
        </w:tc>
      </w:tr>
      <w:tr w:rsidR="00172EC4" w:rsidTr="00172EC4">
        <w:tc>
          <w:tcPr>
            <w:tcW w:w="4322" w:type="dxa"/>
          </w:tcPr>
          <w:p w:rsidR="00172EC4" w:rsidRDefault="00172EC4" w:rsidP="00172EC4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Talio-201</w:t>
            </w:r>
          </w:p>
        </w:tc>
        <w:tc>
          <w:tcPr>
            <w:tcW w:w="4322" w:type="dxa"/>
          </w:tcPr>
          <w:p w:rsidR="00172EC4" w:rsidRDefault="00C766A0" w:rsidP="00E61CF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Formación de la imagen del corazón.</w:t>
            </w:r>
          </w:p>
        </w:tc>
      </w:tr>
      <w:tr w:rsidR="00172EC4" w:rsidTr="00172EC4">
        <w:tc>
          <w:tcPr>
            <w:tcW w:w="4322" w:type="dxa"/>
          </w:tcPr>
          <w:p w:rsidR="00172EC4" w:rsidRDefault="00172EC4" w:rsidP="00172EC4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Indio-111</w:t>
            </w:r>
          </w:p>
        </w:tc>
        <w:tc>
          <w:tcPr>
            <w:tcW w:w="4322" w:type="dxa"/>
          </w:tcPr>
          <w:p w:rsidR="00172EC4" w:rsidRDefault="00C766A0" w:rsidP="00E61CF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Estudios de la sangre.</w:t>
            </w:r>
          </w:p>
        </w:tc>
      </w:tr>
      <w:tr w:rsidR="00172EC4" w:rsidTr="00172EC4">
        <w:tc>
          <w:tcPr>
            <w:tcW w:w="4322" w:type="dxa"/>
          </w:tcPr>
          <w:p w:rsidR="00172EC4" w:rsidRDefault="00172EC4" w:rsidP="00172EC4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Xenón-133</w:t>
            </w:r>
          </w:p>
        </w:tc>
        <w:tc>
          <w:tcPr>
            <w:tcW w:w="4322" w:type="dxa"/>
          </w:tcPr>
          <w:p w:rsidR="00172EC4" w:rsidRDefault="00C766A0" w:rsidP="00E61CF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Formación de la imagen del pulmón.</w:t>
            </w:r>
          </w:p>
        </w:tc>
      </w:tr>
    </w:tbl>
    <w:p w:rsidR="00E61CF8" w:rsidRPr="00E61CF8" w:rsidRDefault="00E61CF8" w:rsidP="00E61CF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50EF9" w:rsidRDefault="00450EF9" w:rsidP="00C845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sectPr w:rsidR="00450EF9" w:rsidSect="00594D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62796"/>
    <w:multiLevelType w:val="hybridMultilevel"/>
    <w:tmpl w:val="C3C4BE3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924"/>
    <w:rsid w:val="00036685"/>
    <w:rsid w:val="00155B74"/>
    <w:rsid w:val="00172EC4"/>
    <w:rsid w:val="00292E1F"/>
    <w:rsid w:val="002D79AE"/>
    <w:rsid w:val="0040112F"/>
    <w:rsid w:val="00450EF9"/>
    <w:rsid w:val="00491900"/>
    <w:rsid w:val="00525ACC"/>
    <w:rsid w:val="00594DF3"/>
    <w:rsid w:val="005D5419"/>
    <w:rsid w:val="00636675"/>
    <w:rsid w:val="00637924"/>
    <w:rsid w:val="006C33B8"/>
    <w:rsid w:val="00816A75"/>
    <w:rsid w:val="00836BC7"/>
    <w:rsid w:val="00912E7E"/>
    <w:rsid w:val="009C318E"/>
    <w:rsid w:val="00AD5C5B"/>
    <w:rsid w:val="00BD5E91"/>
    <w:rsid w:val="00BF2C35"/>
    <w:rsid w:val="00C2126A"/>
    <w:rsid w:val="00C412BF"/>
    <w:rsid w:val="00C766A0"/>
    <w:rsid w:val="00C845A2"/>
    <w:rsid w:val="00D776C8"/>
    <w:rsid w:val="00D81228"/>
    <w:rsid w:val="00E01E96"/>
    <w:rsid w:val="00E61CF8"/>
    <w:rsid w:val="00EF70AB"/>
    <w:rsid w:val="00EF71D6"/>
    <w:rsid w:val="00F4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D5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61C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D5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61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 Niza</dc:creator>
  <cp:lastModifiedBy>Baby Niza</cp:lastModifiedBy>
  <cp:revision>2</cp:revision>
  <dcterms:created xsi:type="dcterms:W3CDTF">2012-03-02T00:19:00Z</dcterms:created>
  <dcterms:modified xsi:type="dcterms:W3CDTF">2012-03-02T00:19:00Z</dcterms:modified>
</cp:coreProperties>
</file>